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95FE" w14:textId="77777777" w:rsidR="007C179C" w:rsidRPr="007C179C" w:rsidRDefault="007C179C" w:rsidP="007C179C">
      <w:pPr>
        <w:shd w:val="clear" w:color="auto" w:fill="FFFFFF"/>
        <w:spacing w:after="158" w:line="240" w:lineRule="auto"/>
        <w:outlineLvl w:val="1"/>
        <w:rPr>
          <w:rFonts w:ascii="Times New Roman" w:eastAsia="Times New Roman" w:hAnsi="Times New Roman" w:cs="Times New Roman"/>
          <w:color w:val="232323"/>
          <w:sz w:val="45"/>
          <w:szCs w:val="45"/>
          <w:lang w:eastAsia="pl-PL"/>
        </w:rPr>
      </w:pPr>
      <w:r w:rsidRPr="007C179C">
        <w:rPr>
          <w:rFonts w:ascii="Times New Roman" w:eastAsia="Times New Roman" w:hAnsi="Times New Roman" w:cs="Times New Roman"/>
          <w:color w:val="232323"/>
          <w:sz w:val="45"/>
          <w:szCs w:val="45"/>
          <w:lang w:eastAsia="pl-PL"/>
        </w:rPr>
        <w:t>ZASADY PRZYGOTOWANIA DO BADAŃ POBIERANYCH Z KRWI:</w:t>
      </w:r>
    </w:p>
    <w:p w14:paraId="6E5F0484" w14:textId="77777777" w:rsidR="007C179C" w:rsidRPr="007C179C" w:rsidRDefault="007C179C" w:rsidP="007C179C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 </w:t>
      </w:r>
    </w:p>
    <w:p w14:paraId="4E3D3496" w14:textId="77777777" w:rsidR="007C179C" w:rsidRPr="007C179C" w:rsidRDefault="007C179C" w:rsidP="007C179C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b/>
          <w:bCs/>
          <w:color w:val="6F6F6F"/>
          <w:sz w:val="21"/>
          <w:szCs w:val="21"/>
          <w:lang w:eastAsia="pl-PL"/>
        </w:rPr>
        <w:t>SPOSÓB PRZYGOTOWANIA DO BADANIA</w:t>
      </w:r>
    </w:p>
    <w:p w14:paraId="1D17496B" w14:textId="77777777" w:rsidR="007C179C" w:rsidRPr="007C179C" w:rsidRDefault="007C179C" w:rsidP="007C1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Pacjent zgłasza się rano na czczo, po okresie nie przyjmowania pokarmów i płynów przez 12-15 godzin - na czczo oznacza, że nie należy przyjmować posiłku po kolacji do momentu pobrania krwi.</w:t>
      </w:r>
    </w:p>
    <w:p w14:paraId="21684911" w14:textId="77777777" w:rsidR="007C179C" w:rsidRPr="007C179C" w:rsidRDefault="007C179C" w:rsidP="007C1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Można pić niewielkie ilości wody niegazowanej , Picie kawy jest niedozwolone.</w:t>
      </w:r>
    </w:p>
    <w:p w14:paraId="38C7D7AF" w14:textId="77777777" w:rsidR="007C179C" w:rsidRPr="007C179C" w:rsidRDefault="007C179C" w:rsidP="007C1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Pacjent w czasie pobierania krwi nie może ruszać ręką i nie może mieć nic w ustach.</w:t>
      </w:r>
    </w:p>
    <w:p w14:paraId="65AA2B7D" w14:textId="77777777" w:rsidR="007C179C" w:rsidRPr="007C179C" w:rsidRDefault="007C179C" w:rsidP="007C1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Pacjent powinien być wypoczęty a po przyjściu do punktu pobrań powinien odpocząć ok. 15 min.</w:t>
      </w:r>
    </w:p>
    <w:p w14:paraId="4C534F39" w14:textId="77777777" w:rsidR="007C179C" w:rsidRPr="007C179C" w:rsidRDefault="007C179C" w:rsidP="007C1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Jeśli lekarz prowadzący nie zaleci inaczej, pacjent powinien przyjmować leki jak zazwyczaj.</w:t>
      </w:r>
    </w:p>
    <w:p w14:paraId="33131E5E" w14:textId="77777777" w:rsidR="007C179C" w:rsidRPr="007C179C" w:rsidRDefault="007C179C" w:rsidP="007C1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W związku z wykonywaniem niektórych analiz krwi, może istnieć konieczność przestrzegania określonej diety przez kilka dni przed badaniem. Zalecenia w tym względzie są ustalane indywidualnie z lekarzem prowadzącym oraz z laboratorium wykonującym analizy.</w:t>
      </w:r>
    </w:p>
    <w:p w14:paraId="7F80BBC2" w14:textId="77777777" w:rsidR="007C179C" w:rsidRPr="007C179C" w:rsidRDefault="007C179C" w:rsidP="007C1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Minimum 3 tygodnie przed badaniem należy też wyleczyć wszelkie infekcje i stany zapalne</w:t>
      </w:r>
    </w:p>
    <w:p w14:paraId="08B009DA" w14:textId="77777777" w:rsidR="007C179C" w:rsidRPr="007C179C" w:rsidRDefault="007C179C" w:rsidP="007C179C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b/>
          <w:bCs/>
          <w:color w:val="6F6F6F"/>
          <w:sz w:val="21"/>
          <w:szCs w:val="21"/>
          <w:lang w:eastAsia="pl-PL"/>
        </w:rPr>
        <w:t>POINFORMUJ O:</w:t>
      </w:r>
    </w:p>
    <w:p w14:paraId="647693C9" w14:textId="77777777" w:rsidR="007C179C" w:rsidRPr="007C179C" w:rsidRDefault="007C179C" w:rsidP="007C17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Skłonności do krwawień (skaza krwotoczna).</w:t>
      </w:r>
    </w:p>
    <w:p w14:paraId="34106A93" w14:textId="77777777" w:rsidR="007C179C" w:rsidRPr="007C179C" w:rsidRDefault="007C179C" w:rsidP="007C17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Skłonności do omdleń w czasie pobierania krwi</w:t>
      </w:r>
    </w:p>
    <w:p w14:paraId="74D55A19" w14:textId="77777777" w:rsidR="007C179C" w:rsidRPr="007C179C" w:rsidRDefault="007C179C" w:rsidP="007C17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Aktualnie przyjmowanych lekach</w:t>
      </w:r>
    </w:p>
    <w:p w14:paraId="37EE62F9" w14:textId="77777777" w:rsidR="007C179C" w:rsidRPr="007C179C" w:rsidRDefault="007C179C" w:rsidP="007C179C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b/>
          <w:bCs/>
          <w:color w:val="6F6F6F"/>
          <w:sz w:val="21"/>
          <w:szCs w:val="21"/>
          <w:u w:val="single"/>
          <w:lang w:eastAsia="pl-PL"/>
        </w:rPr>
        <w:t>Na pobranie krwi nie powinny zgłaszać się osoby:</w:t>
      </w:r>
    </w:p>
    <w:p w14:paraId="4F57C7E4" w14:textId="77777777" w:rsidR="007C179C" w:rsidRPr="007C179C" w:rsidRDefault="007C179C" w:rsidP="007C1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w okresie głodzenia lub przyjmowania obfitych posiłków;</w:t>
      </w:r>
    </w:p>
    <w:p w14:paraId="759C6312" w14:textId="77777777" w:rsidR="007C179C" w:rsidRPr="007C179C" w:rsidRDefault="007C179C" w:rsidP="007C1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w okresie miesiączki;</w:t>
      </w:r>
    </w:p>
    <w:p w14:paraId="0B91A34D" w14:textId="77777777" w:rsidR="007C179C" w:rsidRPr="007C179C" w:rsidRDefault="007C179C" w:rsidP="007C1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po nieprzespanej nocy;</w:t>
      </w:r>
    </w:p>
    <w:p w14:paraId="6D327AE4" w14:textId="77777777" w:rsidR="007C179C" w:rsidRPr="007C179C" w:rsidRDefault="007C179C" w:rsidP="007C1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po intensywnym wysiłku fizycznym;</w:t>
      </w:r>
    </w:p>
    <w:p w14:paraId="44A16654" w14:textId="77777777" w:rsidR="007C179C" w:rsidRPr="007C179C" w:rsidRDefault="007C179C" w:rsidP="007C1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po spożyciu alkoholu.</w:t>
      </w:r>
    </w:p>
    <w:p w14:paraId="7EDF74C3" w14:textId="77777777" w:rsidR="007C179C" w:rsidRPr="007C179C" w:rsidRDefault="007C179C" w:rsidP="007C179C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b/>
          <w:bCs/>
          <w:color w:val="6F6F6F"/>
          <w:sz w:val="21"/>
          <w:szCs w:val="21"/>
          <w:lang w:eastAsia="pl-PL"/>
        </w:rPr>
        <w:t>OPIS BADANIA</w:t>
      </w:r>
    </w:p>
    <w:p w14:paraId="5D8F4B48" w14:textId="77777777" w:rsidR="007C179C" w:rsidRPr="007C179C" w:rsidRDefault="007C179C" w:rsidP="007C179C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Krew do badania jest pobierana w pozycji siedzącej, a u osób szczególnie wrażliwych w pozycji leżącej. W zależności od rodzaju wykonywanej analizy, bądź też możliwości pobrania krwi, do badania pobiera się krew żylną, włośniczkową lub tętniczą.</w:t>
      </w:r>
    </w:p>
    <w:p w14:paraId="5D47FF77" w14:textId="77777777" w:rsidR="007C179C" w:rsidRPr="007C179C" w:rsidRDefault="007C179C" w:rsidP="007C179C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b/>
          <w:bCs/>
          <w:color w:val="6F6F6F"/>
          <w:sz w:val="21"/>
          <w:szCs w:val="21"/>
          <w:lang w:eastAsia="pl-PL"/>
        </w:rPr>
        <w:t>MOŻLIWE POWIKŁANIA PO BADANIU</w:t>
      </w:r>
    </w:p>
    <w:p w14:paraId="2E20712B" w14:textId="77777777" w:rsidR="007C179C" w:rsidRPr="007C179C" w:rsidRDefault="007C179C" w:rsidP="007C179C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7C179C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Niewielkie krwawienie lub krwiak w miejscu wkłucia igły.</w:t>
      </w:r>
    </w:p>
    <w:p w14:paraId="14D01A62" w14:textId="77777777" w:rsidR="00C21851" w:rsidRDefault="00C21851"/>
    <w:sectPr w:rsidR="00C21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7B5"/>
    <w:multiLevelType w:val="multilevel"/>
    <w:tmpl w:val="5B08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6382E"/>
    <w:multiLevelType w:val="multilevel"/>
    <w:tmpl w:val="0A4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B6639"/>
    <w:multiLevelType w:val="multilevel"/>
    <w:tmpl w:val="B952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C"/>
    <w:rsid w:val="007C179C"/>
    <w:rsid w:val="00C2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CE72"/>
  <w15:chartTrackingRefBased/>
  <w15:docId w15:val="{818F335B-C6A5-4853-A242-A23AB0C0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17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1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Proksa</dc:creator>
  <cp:keywords/>
  <dc:description/>
  <cp:lastModifiedBy>Dariusz Proksa</cp:lastModifiedBy>
  <cp:revision>1</cp:revision>
  <dcterms:created xsi:type="dcterms:W3CDTF">2026-02-23T08:46:00Z</dcterms:created>
  <dcterms:modified xsi:type="dcterms:W3CDTF">2026-02-23T08:46:00Z</dcterms:modified>
</cp:coreProperties>
</file>